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816B6" w14:textId="77777777" w:rsidR="00522E20" w:rsidRDefault="00FB3BB6" w:rsidP="00FB3BB6">
      <w:pPr>
        <w:jc w:val="center"/>
        <w:rPr>
          <w:rFonts w:ascii="Gill Sans MT" w:hAnsi="Gill Sans MT"/>
          <w:b/>
          <w:sz w:val="32"/>
          <w:szCs w:val="24"/>
        </w:rPr>
      </w:pPr>
      <w:r w:rsidRPr="00FB3BB6">
        <w:rPr>
          <w:rFonts w:ascii="Gill Sans MT" w:hAnsi="Gill Sans MT"/>
          <w:b/>
          <w:sz w:val="32"/>
          <w:szCs w:val="24"/>
        </w:rPr>
        <w:t>HEALTH AND SOCIAL CARE</w:t>
      </w:r>
    </w:p>
    <w:p w14:paraId="520C005C" w14:textId="77777777" w:rsidR="0031429E" w:rsidRPr="0031429E" w:rsidRDefault="0031429E" w:rsidP="00FB3BB6">
      <w:pPr>
        <w:jc w:val="center"/>
        <w:rPr>
          <w:rFonts w:ascii="Gill Sans MT" w:hAnsi="Gill Sans MT"/>
          <w:b/>
          <w:color w:val="002060"/>
          <w:sz w:val="32"/>
          <w:szCs w:val="24"/>
        </w:rPr>
      </w:pPr>
      <w:proofErr w:type="spellStart"/>
      <w:r w:rsidRPr="0031429E">
        <w:rPr>
          <w:rFonts w:ascii="Gill Sans MT" w:hAnsi="Gill Sans MT"/>
          <w:b/>
          <w:color w:val="002060"/>
          <w:sz w:val="32"/>
          <w:szCs w:val="24"/>
        </w:rPr>
        <w:t>Eduqas</w:t>
      </w:r>
      <w:proofErr w:type="spellEnd"/>
      <w:r w:rsidRPr="0031429E">
        <w:rPr>
          <w:rFonts w:ascii="Gill Sans MT" w:hAnsi="Gill Sans MT"/>
          <w:b/>
          <w:color w:val="002060"/>
          <w:sz w:val="32"/>
          <w:szCs w:val="24"/>
        </w:rPr>
        <w:t xml:space="preserve"> – Level 1/2 Vocational Award in Health and Social Care</w:t>
      </w:r>
    </w:p>
    <w:p w14:paraId="3176A4C3" w14:textId="77777777" w:rsidR="00FB3BB6" w:rsidRDefault="00FB3BB6" w:rsidP="00FB3BB6">
      <w:pPr>
        <w:jc w:val="center"/>
        <w:rPr>
          <w:rFonts w:ascii="Gill Sans MT" w:hAnsi="Gill Sans MT"/>
          <w:sz w:val="24"/>
          <w:szCs w:val="24"/>
        </w:rPr>
      </w:pPr>
      <w:r>
        <w:rPr>
          <w:rFonts w:ascii="Gill Sans MT" w:hAnsi="Gill Sans MT"/>
          <w:sz w:val="24"/>
          <w:szCs w:val="24"/>
        </w:rPr>
        <w:t>Miss Burns</w:t>
      </w:r>
    </w:p>
    <w:tbl>
      <w:tblPr>
        <w:tblStyle w:val="TableGrid"/>
        <w:tblW w:w="9924" w:type="dxa"/>
        <w:tblInd w:w="-431" w:type="dxa"/>
        <w:tblLook w:val="04A0" w:firstRow="1" w:lastRow="0" w:firstColumn="1" w:lastColumn="0" w:noHBand="0" w:noVBand="1"/>
      </w:tblPr>
      <w:tblGrid>
        <w:gridCol w:w="1702"/>
        <w:gridCol w:w="8222"/>
      </w:tblGrid>
      <w:tr w:rsidR="00FB3BB6" w14:paraId="733A07F6" w14:textId="77777777" w:rsidTr="00765557">
        <w:tc>
          <w:tcPr>
            <w:tcW w:w="1702" w:type="dxa"/>
            <w:vAlign w:val="center"/>
          </w:tcPr>
          <w:p w14:paraId="2F9B906D" w14:textId="77777777" w:rsidR="00FB3BB6" w:rsidRPr="0031429E" w:rsidRDefault="00FB3BB6" w:rsidP="0031429E">
            <w:pPr>
              <w:jc w:val="center"/>
              <w:rPr>
                <w:rFonts w:ascii="Gill Sans MT" w:hAnsi="Gill Sans MT"/>
                <w:b/>
                <w:sz w:val="24"/>
                <w:szCs w:val="24"/>
              </w:rPr>
            </w:pPr>
            <w:r w:rsidRPr="0031429E">
              <w:rPr>
                <w:rFonts w:ascii="Gill Sans MT" w:hAnsi="Gill Sans MT"/>
                <w:b/>
                <w:sz w:val="24"/>
                <w:szCs w:val="24"/>
              </w:rPr>
              <w:t>Assessment</w:t>
            </w:r>
          </w:p>
        </w:tc>
        <w:tc>
          <w:tcPr>
            <w:tcW w:w="8222" w:type="dxa"/>
          </w:tcPr>
          <w:p w14:paraId="0CA4CAD6" w14:textId="77777777" w:rsidR="00FB3BB6" w:rsidRDefault="00FB3BB6" w:rsidP="00FB3BB6">
            <w:pPr>
              <w:jc w:val="both"/>
              <w:rPr>
                <w:rFonts w:ascii="Gill Sans MT" w:hAnsi="Gill Sans MT"/>
                <w:sz w:val="24"/>
                <w:szCs w:val="24"/>
              </w:rPr>
            </w:pPr>
            <w:r>
              <w:rPr>
                <w:rFonts w:ascii="Gill Sans MT" w:hAnsi="Gill Sans MT"/>
                <w:sz w:val="24"/>
                <w:szCs w:val="24"/>
              </w:rPr>
              <w:t>All work is assessed to the guidelines laid out by the exam boars. 60% of the assessed work is controlled assessment which is completed in the classroom under the supervision of the teacher. The controlled assessment will be completed in year 10 and then externally assessed. The remaining 40% will be assessed through an external exam which will be sat at the end of year 11.</w:t>
            </w:r>
          </w:p>
          <w:p w14:paraId="7E00794A" w14:textId="2205290E" w:rsidR="00765557" w:rsidRDefault="00765557" w:rsidP="00FB3BB6">
            <w:pPr>
              <w:jc w:val="both"/>
              <w:rPr>
                <w:rFonts w:ascii="Gill Sans MT" w:hAnsi="Gill Sans MT"/>
                <w:sz w:val="24"/>
                <w:szCs w:val="24"/>
              </w:rPr>
            </w:pPr>
            <w:hyperlink r:id="rId5" w:history="1">
              <w:r w:rsidRPr="00765557">
                <w:rPr>
                  <w:rStyle w:val="Hyperlink"/>
                  <w:rFonts w:ascii="Gill Sans MT" w:hAnsi="Gill Sans MT"/>
                  <w:sz w:val="24"/>
                  <w:szCs w:val="24"/>
                </w:rPr>
                <w:t>Specification</w:t>
              </w:r>
            </w:hyperlink>
            <w:r>
              <w:rPr>
                <w:rFonts w:ascii="Gill Sans MT" w:hAnsi="Gill Sans MT"/>
                <w:sz w:val="24"/>
                <w:szCs w:val="24"/>
              </w:rPr>
              <w:t xml:space="preserve"> </w:t>
            </w:r>
          </w:p>
        </w:tc>
      </w:tr>
      <w:tr w:rsidR="00FB3BB6" w14:paraId="6D413DB8" w14:textId="77777777" w:rsidTr="00765557">
        <w:tc>
          <w:tcPr>
            <w:tcW w:w="1702" w:type="dxa"/>
            <w:vAlign w:val="center"/>
          </w:tcPr>
          <w:p w14:paraId="145060C8" w14:textId="77777777" w:rsidR="00FB3BB6" w:rsidRPr="0031429E" w:rsidRDefault="00FB3BB6" w:rsidP="0031429E">
            <w:pPr>
              <w:jc w:val="center"/>
              <w:rPr>
                <w:rFonts w:ascii="Gill Sans MT" w:hAnsi="Gill Sans MT"/>
                <w:b/>
                <w:sz w:val="24"/>
                <w:szCs w:val="24"/>
              </w:rPr>
            </w:pPr>
            <w:r w:rsidRPr="0031429E">
              <w:rPr>
                <w:rFonts w:ascii="Gill Sans MT" w:hAnsi="Gill Sans MT"/>
                <w:b/>
                <w:sz w:val="24"/>
                <w:szCs w:val="24"/>
              </w:rPr>
              <w:t>Course outline</w:t>
            </w:r>
          </w:p>
        </w:tc>
        <w:tc>
          <w:tcPr>
            <w:tcW w:w="8222" w:type="dxa"/>
          </w:tcPr>
          <w:p w14:paraId="6A9D883C" w14:textId="77777777" w:rsidR="0031429E" w:rsidRPr="0031429E" w:rsidRDefault="0031429E" w:rsidP="0031429E">
            <w:pPr>
              <w:jc w:val="both"/>
              <w:rPr>
                <w:rFonts w:ascii="Gill Sans MT" w:hAnsi="Gill Sans MT" w:cs="Calibri"/>
                <w:sz w:val="24"/>
                <w:szCs w:val="24"/>
              </w:rPr>
            </w:pPr>
            <w:r w:rsidRPr="0031429E">
              <w:rPr>
                <w:rFonts w:ascii="Gill Sans MT" w:hAnsi="Gill Sans MT" w:cs="Calibri"/>
                <w:sz w:val="24"/>
                <w:szCs w:val="24"/>
              </w:rPr>
              <w:t>Health and Social Care aims to give students a broad understanding of the knowledge and skills needed for further study or work in health, social care or early years.</w:t>
            </w:r>
          </w:p>
          <w:p w14:paraId="38804CC0" w14:textId="77777777" w:rsidR="0031429E" w:rsidRPr="0031429E" w:rsidRDefault="0031429E" w:rsidP="0031429E">
            <w:pPr>
              <w:ind w:right="69"/>
              <w:jc w:val="both"/>
              <w:rPr>
                <w:rFonts w:ascii="Calibri" w:hAnsi="Calibri" w:cs="Arial"/>
                <w:sz w:val="24"/>
                <w:szCs w:val="24"/>
              </w:rPr>
            </w:pPr>
            <w:r w:rsidRPr="0031429E">
              <w:rPr>
                <w:rFonts w:ascii="Gill Sans MT" w:hAnsi="Gill Sans MT" w:cs="Calibri"/>
                <w:sz w:val="24"/>
                <w:szCs w:val="24"/>
              </w:rPr>
              <w:t>By completing this qualification, you will become equipped with a sound, specialist knowledge as well as skills for everyday use.</w:t>
            </w:r>
          </w:p>
          <w:p w14:paraId="482F5F54" w14:textId="77777777" w:rsidR="00FB3BB6" w:rsidRDefault="0031429E" w:rsidP="0031429E">
            <w:pPr>
              <w:jc w:val="both"/>
              <w:rPr>
                <w:rFonts w:ascii="Gill Sans MT" w:hAnsi="Gill Sans MT" w:cs="Calibri"/>
                <w:noProof/>
                <w:color w:val="000000"/>
                <w:sz w:val="24"/>
                <w:szCs w:val="24"/>
                <w:lang w:eastAsia="en-GB"/>
              </w:rPr>
            </w:pPr>
            <w:r w:rsidRPr="0031429E">
              <w:rPr>
                <w:rFonts w:ascii="Gill Sans MT" w:hAnsi="Gill Sans MT" w:cs="Calibri"/>
                <w:noProof/>
                <w:color w:val="000000"/>
                <w:sz w:val="24"/>
                <w:szCs w:val="24"/>
                <w:lang w:eastAsia="en-GB"/>
              </w:rPr>
              <w:t xml:space="preserve">Health and Social Care at Cardinal Newman offers an interesting  and varied programme of study.  It has been a popular option choice for many years.   It prepares students with a range of skills needed for further and higher education. </w:t>
            </w:r>
          </w:p>
          <w:p w14:paraId="5E0A2D03" w14:textId="72D0D5F8" w:rsidR="00765557" w:rsidRDefault="00765557" w:rsidP="0031429E">
            <w:pPr>
              <w:jc w:val="both"/>
              <w:rPr>
                <w:rFonts w:ascii="Gill Sans MT" w:hAnsi="Gill Sans MT" w:cs="Calibri"/>
                <w:noProof/>
                <w:color w:val="000000"/>
                <w:sz w:val="24"/>
                <w:szCs w:val="24"/>
                <w:lang w:eastAsia="en-GB"/>
              </w:rPr>
            </w:pPr>
            <w:r>
              <w:rPr>
                <w:rFonts w:ascii="Gill Sans MT" w:hAnsi="Gill Sans MT" w:cs="Calibri"/>
                <w:noProof/>
                <w:color w:val="000000"/>
                <w:sz w:val="24"/>
                <w:szCs w:val="24"/>
                <w:lang w:eastAsia="en-GB"/>
              </w:rPr>
              <w:t xml:space="preserve">Unit 1 </w:t>
            </w:r>
            <w:r w:rsidR="00057E51" w:rsidRPr="00057E51">
              <w:rPr>
                <w:rFonts w:ascii="Gill Sans MT" w:hAnsi="Gill Sans MT" w:cs="Calibri"/>
                <w:noProof/>
                <w:color w:val="000000"/>
                <w:sz w:val="24"/>
                <w:szCs w:val="24"/>
                <w:lang w:eastAsia="en-GB"/>
              </w:rPr>
              <w:t>Health, well-being and development throughout the lifespan</w:t>
            </w:r>
          </w:p>
          <w:p w14:paraId="79C07EEC" w14:textId="033398F9" w:rsidR="00765557" w:rsidRDefault="00765557" w:rsidP="0031429E">
            <w:pPr>
              <w:jc w:val="both"/>
              <w:rPr>
                <w:rFonts w:ascii="Gill Sans MT" w:hAnsi="Gill Sans MT" w:cs="Calibri"/>
                <w:noProof/>
                <w:color w:val="000000"/>
                <w:sz w:val="24"/>
                <w:szCs w:val="24"/>
                <w:lang w:eastAsia="en-GB"/>
              </w:rPr>
            </w:pPr>
            <w:r>
              <w:rPr>
                <w:rFonts w:ascii="Gill Sans MT" w:hAnsi="Gill Sans MT" w:cs="Calibri"/>
                <w:noProof/>
                <w:color w:val="000000"/>
                <w:sz w:val="24"/>
                <w:szCs w:val="24"/>
                <w:lang w:eastAsia="en-GB"/>
              </w:rPr>
              <w:t xml:space="preserve">Unit 2 </w:t>
            </w:r>
            <w:r w:rsidR="00057E51">
              <w:rPr>
                <w:rFonts w:ascii="Gill Sans MT" w:hAnsi="Gill Sans MT" w:cs="Calibri"/>
                <w:noProof/>
                <w:color w:val="000000"/>
                <w:sz w:val="24"/>
                <w:szCs w:val="24"/>
                <w:lang w:eastAsia="en-GB"/>
              </w:rPr>
              <w:t>O</w:t>
            </w:r>
            <w:proofErr w:type="spellStart"/>
            <w:r w:rsidR="00057E51">
              <w:t>utcome</w:t>
            </w:r>
            <w:proofErr w:type="spellEnd"/>
            <w:r w:rsidR="00057E51">
              <w:t>-focused and person-centred practice in health and social care</w:t>
            </w:r>
          </w:p>
          <w:p w14:paraId="2D0D2B42" w14:textId="3B04B3BC" w:rsidR="00765557" w:rsidRPr="0031429E" w:rsidRDefault="00765557" w:rsidP="0031429E">
            <w:pPr>
              <w:jc w:val="both"/>
              <w:rPr>
                <w:rFonts w:ascii="Gill Sans MT" w:hAnsi="Gill Sans MT" w:cs="Calibri"/>
                <w:noProof/>
                <w:color w:val="000000"/>
                <w:sz w:val="24"/>
                <w:szCs w:val="24"/>
                <w:lang w:eastAsia="en-GB"/>
              </w:rPr>
            </w:pPr>
          </w:p>
        </w:tc>
      </w:tr>
      <w:tr w:rsidR="00FB3BB6" w14:paraId="7C872F7A" w14:textId="77777777" w:rsidTr="00765557">
        <w:tc>
          <w:tcPr>
            <w:tcW w:w="1702" w:type="dxa"/>
            <w:vAlign w:val="center"/>
          </w:tcPr>
          <w:p w14:paraId="7AE9A544" w14:textId="77777777" w:rsidR="00FB3BB6" w:rsidRPr="0031429E" w:rsidRDefault="00FB3BB6" w:rsidP="0031429E">
            <w:pPr>
              <w:jc w:val="center"/>
              <w:rPr>
                <w:rFonts w:ascii="Gill Sans MT" w:hAnsi="Gill Sans MT"/>
                <w:b/>
                <w:sz w:val="24"/>
                <w:szCs w:val="24"/>
              </w:rPr>
            </w:pPr>
            <w:r w:rsidRPr="0031429E">
              <w:rPr>
                <w:rFonts w:ascii="Gill Sans MT" w:hAnsi="Gill Sans MT"/>
                <w:b/>
                <w:sz w:val="24"/>
                <w:szCs w:val="24"/>
              </w:rPr>
              <w:t>Progression routes</w:t>
            </w:r>
          </w:p>
        </w:tc>
        <w:tc>
          <w:tcPr>
            <w:tcW w:w="8222" w:type="dxa"/>
          </w:tcPr>
          <w:p w14:paraId="722E00B6" w14:textId="77777777" w:rsidR="00FB3BB6" w:rsidRDefault="00FB3BB6" w:rsidP="00FB3BB6">
            <w:pPr>
              <w:jc w:val="both"/>
              <w:rPr>
                <w:rFonts w:ascii="Gill Sans MT" w:hAnsi="Gill Sans MT"/>
                <w:sz w:val="24"/>
                <w:szCs w:val="24"/>
              </w:rPr>
            </w:pPr>
            <w:r>
              <w:rPr>
                <w:rFonts w:ascii="Gill Sans MT" w:hAnsi="Gill Sans MT"/>
                <w:sz w:val="24"/>
                <w:szCs w:val="24"/>
              </w:rPr>
              <w:t xml:space="preserve">The course can lead onto to the </w:t>
            </w:r>
            <w:r w:rsidR="0031429E">
              <w:rPr>
                <w:rFonts w:ascii="Gill Sans MT" w:hAnsi="Gill Sans MT"/>
                <w:sz w:val="24"/>
                <w:szCs w:val="24"/>
              </w:rPr>
              <w:t xml:space="preserve">BTEC Level 3 Health and Social Care qualification and support access to other social science subjects. It gives you a strong foundation for working within any field in the health and social care service. </w:t>
            </w:r>
          </w:p>
          <w:p w14:paraId="7076116B" w14:textId="74C9B311" w:rsidR="00765557" w:rsidRDefault="00765557" w:rsidP="00FB3BB6">
            <w:pPr>
              <w:jc w:val="both"/>
              <w:rPr>
                <w:rFonts w:ascii="Gill Sans MT" w:hAnsi="Gill Sans MT"/>
                <w:sz w:val="24"/>
                <w:szCs w:val="24"/>
              </w:rPr>
            </w:pPr>
            <w:hyperlink r:id="rId6" w:history="1">
              <w:r w:rsidRPr="00765557">
                <w:rPr>
                  <w:rStyle w:val="Hyperlink"/>
                  <w:rFonts w:ascii="Gill Sans MT" w:hAnsi="Gill Sans MT"/>
                  <w:sz w:val="24"/>
                  <w:szCs w:val="24"/>
                </w:rPr>
                <w:t>National Careers Service</w:t>
              </w:r>
            </w:hyperlink>
            <w:r>
              <w:rPr>
                <w:rFonts w:ascii="Gill Sans MT" w:hAnsi="Gill Sans MT"/>
                <w:sz w:val="24"/>
                <w:szCs w:val="24"/>
              </w:rPr>
              <w:t xml:space="preserve"> </w:t>
            </w:r>
          </w:p>
        </w:tc>
      </w:tr>
      <w:tr w:rsidR="00FB3BB6" w14:paraId="255BAF24" w14:textId="77777777" w:rsidTr="00765557">
        <w:trPr>
          <w:trHeight w:val="5093"/>
        </w:trPr>
        <w:tc>
          <w:tcPr>
            <w:tcW w:w="1702" w:type="dxa"/>
            <w:vAlign w:val="center"/>
          </w:tcPr>
          <w:p w14:paraId="69355407" w14:textId="77777777" w:rsidR="00FB3BB6" w:rsidRPr="0031429E" w:rsidRDefault="00FB3BB6" w:rsidP="0031429E">
            <w:pPr>
              <w:jc w:val="center"/>
              <w:rPr>
                <w:rFonts w:ascii="Gill Sans MT" w:hAnsi="Gill Sans MT"/>
                <w:b/>
                <w:sz w:val="24"/>
                <w:szCs w:val="24"/>
              </w:rPr>
            </w:pPr>
            <w:r w:rsidRPr="0031429E">
              <w:rPr>
                <w:rFonts w:ascii="Gill Sans MT" w:hAnsi="Gill Sans MT"/>
                <w:b/>
                <w:sz w:val="24"/>
                <w:szCs w:val="24"/>
              </w:rPr>
              <w:t>Year 10/11</w:t>
            </w:r>
          </w:p>
        </w:tc>
        <w:tc>
          <w:tcPr>
            <w:tcW w:w="8222" w:type="dxa"/>
          </w:tcPr>
          <w:p w14:paraId="3DE5825C" w14:textId="77777777" w:rsidR="00FB3BB6" w:rsidRPr="0031429E" w:rsidRDefault="00FB3BB6" w:rsidP="0031429E">
            <w:pPr>
              <w:jc w:val="both"/>
              <w:rPr>
                <w:rFonts w:ascii="Gill Sans MT" w:hAnsi="Gill Sans MT" w:cs="Calibri"/>
                <w:b/>
                <w:noProof/>
                <w:color w:val="000000"/>
                <w:sz w:val="24"/>
                <w:szCs w:val="24"/>
                <w:lang w:eastAsia="en-GB"/>
              </w:rPr>
            </w:pPr>
            <w:r w:rsidRPr="00FB3BB6">
              <w:rPr>
                <w:rFonts w:ascii="Gill Sans MT" w:hAnsi="Gill Sans MT" w:cs="Calibri"/>
                <w:b/>
                <w:noProof/>
                <w:color w:val="000000"/>
                <w:sz w:val="24"/>
                <w:szCs w:val="24"/>
                <w:lang w:eastAsia="en-GB"/>
              </w:rPr>
              <w:t>YEAR 10</w:t>
            </w:r>
            <w:r w:rsidR="0031429E">
              <w:rPr>
                <w:rFonts w:ascii="Gill Sans MT" w:hAnsi="Gill Sans MT" w:cs="Calibri"/>
                <w:b/>
                <w:noProof/>
                <w:color w:val="000000"/>
                <w:sz w:val="24"/>
                <w:szCs w:val="24"/>
                <w:lang w:eastAsia="en-GB"/>
              </w:rPr>
              <w:t xml:space="preserve"> - </w:t>
            </w:r>
            <w:r w:rsidRPr="00FB3BB6">
              <w:rPr>
                <w:rFonts w:ascii="Gill Sans MT" w:hAnsi="Gill Sans MT" w:cs="Calibri"/>
                <w:noProof/>
                <w:sz w:val="24"/>
                <w:szCs w:val="24"/>
                <w:lang w:eastAsia="en-GB"/>
              </w:rPr>
              <w:t>You will cover Unit 2 in year 10 which comprises of two assignments. The work for these will be completed in class, but will involve some research and preparation in your own time.</w:t>
            </w:r>
          </w:p>
          <w:p w14:paraId="28C6D9E4" w14:textId="77777777" w:rsidR="00FB3BB6" w:rsidRPr="0031429E" w:rsidRDefault="00FB3BB6" w:rsidP="00FB3BB6">
            <w:pPr>
              <w:jc w:val="both"/>
              <w:rPr>
                <w:rFonts w:ascii="Gill Sans MT" w:hAnsi="Gill Sans MT" w:cs="Calibri"/>
                <w:i/>
                <w:noProof/>
                <w:color w:val="002060"/>
                <w:sz w:val="24"/>
                <w:szCs w:val="24"/>
                <w:lang w:eastAsia="en-GB"/>
              </w:rPr>
            </w:pPr>
            <w:r w:rsidRPr="0031429E">
              <w:rPr>
                <w:rFonts w:ascii="Gill Sans MT" w:hAnsi="Gill Sans MT" w:cs="Calibri"/>
                <w:i/>
                <w:noProof/>
                <w:color w:val="002060"/>
                <w:sz w:val="24"/>
                <w:szCs w:val="24"/>
                <w:lang w:eastAsia="en-GB"/>
              </w:rPr>
              <w:t>Unit 2: Outcome-focused and person-centred practice in health and social care</w:t>
            </w:r>
          </w:p>
          <w:p w14:paraId="6FA1CAD4" w14:textId="77777777" w:rsidR="00FB3BB6" w:rsidRPr="00FB3BB6" w:rsidRDefault="00FB3BB6" w:rsidP="00FB3BB6">
            <w:pPr>
              <w:autoSpaceDE w:val="0"/>
              <w:autoSpaceDN w:val="0"/>
              <w:adjustRightInd w:val="0"/>
              <w:jc w:val="both"/>
              <w:rPr>
                <w:rFonts w:ascii="Gill Sans MT" w:eastAsia="Calibri" w:hAnsi="Gill Sans MT" w:cs="Calibri"/>
                <w:sz w:val="24"/>
                <w:szCs w:val="24"/>
              </w:rPr>
            </w:pPr>
            <w:r w:rsidRPr="00FB3BB6">
              <w:rPr>
                <w:rFonts w:ascii="Gill Sans MT" w:eastAsia="Calibri" w:hAnsi="Gill Sans MT" w:cs="Calibri"/>
                <w:sz w:val="24"/>
                <w:szCs w:val="24"/>
              </w:rPr>
              <w:t>You will:</w:t>
            </w:r>
          </w:p>
          <w:p w14:paraId="2CEF2067" w14:textId="77777777" w:rsidR="00FB3BB6" w:rsidRPr="00FB3BB6" w:rsidRDefault="00FB3BB6" w:rsidP="00FB3BB6">
            <w:pPr>
              <w:numPr>
                <w:ilvl w:val="0"/>
                <w:numId w:val="1"/>
              </w:numPr>
              <w:autoSpaceDE w:val="0"/>
              <w:autoSpaceDN w:val="0"/>
              <w:adjustRightInd w:val="0"/>
              <w:jc w:val="both"/>
              <w:rPr>
                <w:rFonts w:ascii="Gill Sans MT" w:eastAsia="Calibri" w:hAnsi="Gill Sans MT" w:cs="Calibri"/>
                <w:sz w:val="24"/>
                <w:szCs w:val="24"/>
              </w:rPr>
            </w:pPr>
            <w:r w:rsidRPr="00FB3BB6">
              <w:rPr>
                <w:rFonts w:ascii="Gill Sans MT" w:eastAsia="Calibri" w:hAnsi="Gill Sans MT" w:cs="Calibri"/>
                <w:sz w:val="24"/>
                <w:szCs w:val="24"/>
              </w:rPr>
              <w:t>Learn about the value of person-centred practice, through application of how provision and practitioners’ roles meet the needs of individuals. You will also learn about the legislation and standards which need to be met</w:t>
            </w:r>
          </w:p>
          <w:p w14:paraId="6CBACCC8" w14:textId="77777777" w:rsidR="00FB3BB6" w:rsidRPr="00FB3BB6" w:rsidRDefault="00FB3BB6" w:rsidP="00FB3BB6">
            <w:pPr>
              <w:numPr>
                <w:ilvl w:val="0"/>
                <w:numId w:val="1"/>
              </w:numPr>
              <w:autoSpaceDE w:val="0"/>
              <w:autoSpaceDN w:val="0"/>
              <w:adjustRightInd w:val="0"/>
              <w:jc w:val="both"/>
              <w:rPr>
                <w:rFonts w:ascii="Gill Sans MT" w:eastAsia="Calibri" w:hAnsi="Gill Sans MT" w:cs="Calibri"/>
                <w:sz w:val="24"/>
                <w:szCs w:val="24"/>
              </w:rPr>
            </w:pPr>
            <w:r w:rsidRPr="00FB3BB6">
              <w:rPr>
                <w:rFonts w:ascii="Gill Sans MT" w:eastAsia="Calibri" w:hAnsi="Gill Sans MT" w:cs="Calibri"/>
                <w:sz w:val="24"/>
                <w:szCs w:val="24"/>
              </w:rPr>
              <w:t>Develop an understanding of issues around safeguarding and types of abuse</w:t>
            </w:r>
          </w:p>
          <w:p w14:paraId="554F0BCB" w14:textId="77777777" w:rsidR="00FB3BB6" w:rsidRPr="0031429E" w:rsidRDefault="00FB3BB6" w:rsidP="00FB3BB6">
            <w:pPr>
              <w:jc w:val="both"/>
              <w:rPr>
                <w:rFonts w:ascii="Gill Sans MT" w:hAnsi="Gill Sans MT" w:cs="Calibri"/>
                <w:b/>
                <w:noProof/>
                <w:color w:val="000000"/>
                <w:sz w:val="24"/>
                <w:szCs w:val="24"/>
                <w:lang w:eastAsia="en-GB"/>
              </w:rPr>
            </w:pPr>
            <w:r w:rsidRPr="00FB3BB6">
              <w:rPr>
                <w:rFonts w:ascii="Gill Sans MT" w:hAnsi="Gill Sans MT" w:cs="Calibri"/>
                <w:b/>
                <w:noProof/>
                <w:color w:val="000000"/>
                <w:sz w:val="24"/>
                <w:szCs w:val="24"/>
                <w:lang w:eastAsia="en-GB"/>
              </w:rPr>
              <w:t>YEAR 11</w:t>
            </w:r>
            <w:r w:rsidR="0031429E">
              <w:rPr>
                <w:rFonts w:ascii="Gill Sans MT" w:hAnsi="Gill Sans MT" w:cs="Calibri"/>
                <w:b/>
                <w:noProof/>
                <w:color w:val="000000"/>
                <w:sz w:val="24"/>
                <w:szCs w:val="24"/>
                <w:lang w:eastAsia="en-GB"/>
              </w:rPr>
              <w:t xml:space="preserve"> - </w:t>
            </w:r>
            <w:r w:rsidRPr="00FB3BB6">
              <w:rPr>
                <w:rFonts w:ascii="Gill Sans MT" w:hAnsi="Gill Sans MT" w:cs="Arial"/>
                <w:noProof/>
                <w:color w:val="000000"/>
                <w:sz w:val="24"/>
                <w:szCs w:val="24"/>
                <w:lang w:eastAsia="en-GB"/>
              </w:rPr>
              <w:t>In year 11 you will work towards completing the exam unit. The exam will take place in the summer. The exam topic will be;</w:t>
            </w:r>
          </w:p>
          <w:p w14:paraId="54843D64" w14:textId="77777777" w:rsidR="00FB3BB6" w:rsidRPr="0031429E" w:rsidRDefault="00FB3BB6" w:rsidP="00FB3BB6">
            <w:pPr>
              <w:jc w:val="both"/>
              <w:rPr>
                <w:rFonts w:ascii="Gill Sans MT" w:hAnsi="Gill Sans MT" w:cs="Arial"/>
                <w:i/>
                <w:noProof/>
                <w:color w:val="002060"/>
                <w:sz w:val="24"/>
                <w:szCs w:val="24"/>
                <w:lang w:eastAsia="en-GB"/>
              </w:rPr>
            </w:pPr>
            <w:r w:rsidRPr="0031429E">
              <w:rPr>
                <w:rFonts w:ascii="Gill Sans MT" w:hAnsi="Gill Sans MT" w:cs="Arial"/>
                <w:i/>
                <w:noProof/>
                <w:color w:val="002060"/>
                <w:sz w:val="24"/>
                <w:szCs w:val="24"/>
                <w:lang w:eastAsia="en-GB"/>
              </w:rPr>
              <w:t>Unit 1: Health, well-being and development throughout the lifespan</w:t>
            </w:r>
          </w:p>
          <w:p w14:paraId="70340C94" w14:textId="77777777" w:rsidR="00FB3BB6" w:rsidRPr="00FB3BB6" w:rsidRDefault="00FB3BB6" w:rsidP="00FB3BB6">
            <w:pPr>
              <w:autoSpaceDE w:val="0"/>
              <w:autoSpaceDN w:val="0"/>
              <w:adjustRightInd w:val="0"/>
              <w:jc w:val="both"/>
              <w:rPr>
                <w:rFonts w:ascii="Gill Sans MT" w:eastAsia="Calibri" w:hAnsi="Gill Sans MT" w:cs="Calibri"/>
                <w:sz w:val="24"/>
                <w:szCs w:val="24"/>
              </w:rPr>
            </w:pPr>
            <w:r w:rsidRPr="00FB3BB6">
              <w:rPr>
                <w:rFonts w:ascii="Gill Sans MT" w:eastAsia="Calibri" w:hAnsi="Gill Sans MT" w:cs="Calibri"/>
                <w:sz w:val="24"/>
                <w:szCs w:val="24"/>
              </w:rPr>
              <w:t>You will:</w:t>
            </w:r>
          </w:p>
          <w:p w14:paraId="17D36F25" w14:textId="77777777" w:rsidR="00FB3BB6" w:rsidRPr="00FB3BB6" w:rsidRDefault="00FB3BB6" w:rsidP="00FB3BB6">
            <w:pPr>
              <w:numPr>
                <w:ilvl w:val="0"/>
                <w:numId w:val="1"/>
              </w:numPr>
              <w:autoSpaceDE w:val="0"/>
              <w:autoSpaceDN w:val="0"/>
              <w:adjustRightInd w:val="0"/>
              <w:jc w:val="both"/>
              <w:rPr>
                <w:rFonts w:ascii="Gill Sans MT" w:eastAsia="Calibri" w:hAnsi="Gill Sans MT" w:cs="Calibri"/>
                <w:sz w:val="24"/>
                <w:szCs w:val="24"/>
              </w:rPr>
            </w:pPr>
            <w:r w:rsidRPr="00FB3BB6">
              <w:rPr>
                <w:rFonts w:ascii="Gill Sans MT" w:eastAsia="Calibri" w:hAnsi="Gill Sans MT" w:cs="Calibri"/>
                <w:sz w:val="24"/>
                <w:szCs w:val="24"/>
              </w:rPr>
              <w:t>Learn about the different ways that individuals grow and develop during their life stages, including the different factors that can affect growth and development</w:t>
            </w:r>
          </w:p>
        </w:tc>
      </w:tr>
    </w:tbl>
    <w:p w14:paraId="495AC39B" w14:textId="77777777" w:rsidR="00FB3BB6" w:rsidRPr="00FB3BB6" w:rsidRDefault="00FB3BB6" w:rsidP="00FB3BB6">
      <w:pPr>
        <w:rPr>
          <w:rFonts w:ascii="Gill Sans MT" w:hAnsi="Gill Sans MT"/>
          <w:sz w:val="24"/>
          <w:szCs w:val="24"/>
        </w:rPr>
      </w:pPr>
    </w:p>
    <w:sectPr w:rsidR="00FB3BB6" w:rsidRPr="00FB3BB6" w:rsidSect="00FB3BB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69B"/>
    <w:multiLevelType w:val="hybridMultilevel"/>
    <w:tmpl w:val="302424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033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B6"/>
    <w:rsid w:val="00057E51"/>
    <w:rsid w:val="0031429E"/>
    <w:rsid w:val="00522E20"/>
    <w:rsid w:val="00765557"/>
    <w:rsid w:val="00FB3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1676"/>
  <w15:chartTrackingRefBased/>
  <w15:docId w15:val="{46B867EE-618D-4B90-9966-233D3E48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3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5557"/>
    <w:rPr>
      <w:color w:val="0563C1" w:themeColor="hyperlink"/>
      <w:u w:val="single"/>
    </w:rPr>
  </w:style>
  <w:style w:type="character" w:styleId="UnresolvedMention">
    <w:name w:val="Unresolved Mention"/>
    <w:basedOn w:val="DefaultParagraphFont"/>
    <w:uiPriority w:val="99"/>
    <w:semiHidden/>
    <w:unhideWhenUsed/>
    <w:rsid w:val="00765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tionalcareers.service.gov.uk/job-categories/healthcare" TargetMode="External"/><Relationship Id="rId5" Type="http://schemas.openxmlformats.org/officeDocument/2006/relationships/hyperlink" Target="https://www.eduqas.co.uk/media/oizbvmiq/wjec_l1-2-vocaward-health-and-social-care_spec-e-11-09-22-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Burns</dc:creator>
  <cp:keywords/>
  <dc:description/>
  <cp:lastModifiedBy>Paul Hegarty</cp:lastModifiedBy>
  <cp:revision>2</cp:revision>
  <dcterms:created xsi:type="dcterms:W3CDTF">2024-02-27T16:48:00Z</dcterms:created>
  <dcterms:modified xsi:type="dcterms:W3CDTF">2024-02-27T16:48:00Z</dcterms:modified>
</cp:coreProperties>
</file>