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8786" w14:textId="3DD69077" w:rsidR="002C007B" w:rsidRPr="00491E79" w:rsidRDefault="009E5A3E" w:rsidP="002C007B">
      <w:pPr>
        <w:jc w:val="center"/>
        <w:rPr>
          <w:rFonts w:ascii="Gill Sans MT" w:hAnsi="Gill Sans MT"/>
          <w:sz w:val="48"/>
          <w:szCs w:val="48"/>
          <w:u w:val="single"/>
        </w:rPr>
      </w:pPr>
      <w:r w:rsidRPr="00491E79">
        <w:rPr>
          <w:rFonts w:ascii="Gill Sans MT" w:hAnsi="Gill Sans MT"/>
          <w:noProof/>
        </w:rPr>
        <w:drawing>
          <wp:anchor distT="0" distB="0" distL="114300" distR="114300" simplePos="0" relativeHeight="251660288" behindDoc="1" locked="0" layoutInCell="1" allowOverlap="1" wp14:anchorId="31EDB797" wp14:editId="52E82E4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23900" cy="610870"/>
            <wp:effectExtent l="0" t="0" r="0" b="0"/>
            <wp:wrapTight wrapText="bothSides">
              <wp:wrapPolygon edited="0">
                <wp:start x="0" y="0"/>
                <wp:lineTo x="0" y="20881"/>
                <wp:lineTo x="21032" y="20881"/>
                <wp:lineTo x="21032" y="0"/>
                <wp:lineTo x="0" y="0"/>
              </wp:wrapPolygon>
            </wp:wrapTight>
            <wp:docPr id="1161684960" name="Picture 1" descr="A red and white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684960" name="Picture 1" descr="A red and white flag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FF" w:rsidRPr="00491E79">
        <w:rPr>
          <w:rFonts w:ascii="Gill Sans MT" w:hAnsi="Gill Sans MT"/>
          <w:sz w:val="48"/>
          <w:szCs w:val="48"/>
          <w:u w:val="single"/>
        </w:rPr>
        <w:t>Polish</w:t>
      </w:r>
      <w:r w:rsidR="00362766" w:rsidRPr="00491E79">
        <w:rPr>
          <w:rFonts w:ascii="Gill Sans MT" w:hAnsi="Gill Sans MT"/>
          <w:sz w:val="48"/>
          <w:szCs w:val="48"/>
          <w:u w:val="single"/>
        </w:rPr>
        <w:t xml:space="preserve"> </w:t>
      </w:r>
    </w:p>
    <w:p w14:paraId="24516E51" w14:textId="07D02F0E" w:rsidR="002C007B" w:rsidRPr="00491E79" w:rsidRDefault="002C007B" w:rsidP="003903A3">
      <w:pPr>
        <w:rPr>
          <w:rFonts w:ascii="Gill Sans MT" w:hAnsi="Gill Sans MT"/>
          <w:sz w:val="28"/>
          <w:szCs w:val="28"/>
        </w:rPr>
      </w:pPr>
      <w:r w:rsidRPr="00491E79">
        <w:rPr>
          <w:rFonts w:ascii="Gill Sans MT" w:hAnsi="Gill Sans MT"/>
          <w:sz w:val="28"/>
          <w:szCs w:val="28"/>
        </w:rPr>
        <w:t>Teacher</w:t>
      </w:r>
      <w:r w:rsidR="00355EFF" w:rsidRPr="00491E79">
        <w:rPr>
          <w:rFonts w:ascii="Gill Sans MT" w:hAnsi="Gill Sans MT"/>
          <w:sz w:val="28"/>
          <w:szCs w:val="28"/>
        </w:rPr>
        <w:t xml:space="preserve">: Mr Ligeza </w:t>
      </w: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7054"/>
      </w:tblGrid>
      <w:tr w:rsidR="002C007B" w:rsidRPr="00491E79" w14:paraId="20590BB7" w14:textId="77777777" w:rsidTr="6B83E66E">
        <w:trPr>
          <w:trHeight w:val="87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E627" w14:textId="4AD53BA3" w:rsidR="002C007B" w:rsidRPr="00491E79" w:rsidRDefault="002C007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Methods of Assessment: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CB1A" w14:textId="497F2394" w:rsidR="00335F40" w:rsidRPr="00491E79" w:rsidRDefault="001B586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There are four exam papers in </w:t>
            </w:r>
            <w:r w:rsidR="00607CEF"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Polish</w:t>
            </w:r>
            <w:r w:rsidR="00AC157E"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.</w:t>
            </w:r>
            <w:r w:rsidR="003903A3"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0E7ED2"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Each paper </w:t>
            </w:r>
            <w:r w:rsidR="00335F40"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 equally weighted.</w:t>
            </w:r>
          </w:p>
          <w:p w14:paraId="7A03D318" w14:textId="0CD1F825" w:rsidR="00335F40" w:rsidRPr="00491E79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25% </w:t>
            </w:r>
            <w:r w:rsidRPr="00491E79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Writing</w:t>
            </w:r>
            <w:r w:rsidR="00AC157E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– </w:t>
            </w:r>
            <w:r w:rsidR="00FE02E5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Communicating in writing for a variety of purposes.</w:t>
            </w:r>
          </w:p>
          <w:p w14:paraId="0C7BCFDF" w14:textId="4F35D336" w:rsidR="000E7ED2" w:rsidRPr="00491E79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25% </w:t>
            </w:r>
            <w:r w:rsidRPr="00491E79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Listening</w:t>
            </w:r>
            <w:r w:rsidR="00D406AC" w:rsidRPr="00491E79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936A7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–</w:t>
            </w:r>
            <w:r w:rsidR="00D406AC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936A7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Understanding and responding to </w:t>
            </w:r>
            <w:r w:rsidR="00A03F1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different types of spoken </w:t>
            </w:r>
            <w:proofErr w:type="gramStart"/>
            <w:r w:rsidR="00A03F1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language</w:t>
            </w:r>
            <w:proofErr w:type="gramEnd"/>
          </w:p>
          <w:p w14:paraId="104AB044" w14:textId="517513D1" w:rsidR="000E7ED2" w:rsidRPr="00491E79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25%</w:t>
            </w:r>
            <w:r w:rsidRPr="00491E79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Reading</w:t>
            </w:r>
            <w:r w:rsidR="0091577C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– Understanding </w:t>
            </w:r>
            <w:r w:rsidR="003D7841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 responding to different types of written language.</w:t>
            </w:r>
          </w:p>
          <w:p w14:paraId="3B254872" w14:textId="160E8E3B" w:rsidR="002C007B" w:rsidRPr="00491E79" w:rsidRDefault="000E7ED2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25% </w:t>
            </w:r>
            <w:r w:rsidRPr="00491E79">
              <w:rPr>
                <w:rFonts w:ascii="Gill Sans MT" w:eastAsia="Times New Roman" w:hAnsi="Gill Sans MT" w:cs="Times New Roman"/>
                <w:i/>
                <w:i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Speaking</w:t>
            </w:r>
            <w:r w:rsidR="00936A7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EC32D6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–</w:t>
            </w:r>
            <w:r w:rsidR="00936A7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093ABC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Communicating and interacting effectively in speech for a variety of purposes</w:t>
            </w:r>
            <w:r w:rsidR="003D7841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.</w:t>
            </w:r>
          </w:p>
        </w:tc>
      </w:tr>
      <w:tr w:rsidR="002C007B" w:rsidRPr="00491E79" w14:paraId="7E93F896" w14:textId="77777777" w:rsidTr="6B83E66E">
        <w:trPr>
          <w:trHeight w:val="4826"/>
        </w:trPr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3E34" w14:textId="359FE89B" w:rsidR="002C007B" w:rsidRPr="00491E79" w:rsidRDefault="000D5A48" w:rsidP="002C007B">
            <w:pPr>
              <w:spacing w:beforeAutospacing="1" w:after="0" w:afterAutospacing="1" w:line="240" w:lineRule="auto"/>
              <w:ind w:right="1079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Course Outline: 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B003" w14:textId="0DFB3523" w:rsidR="002C007B" w:rsidRPr="00491E79" w:rsidRDefault="7815107A" w:rsidP="694BA1AC">
            <w:pPr>
              <w:spacing w:after="0" w:line="240" w:lineRule="auto"/>
              <w:ind w:right="283"/>
              <w:rPr>
                <w:rFonts w:ascii="Gill Sans MT" w:eastAsia="Aptos" w:hAnsi="Gill Sans MT" w:cs="Aptos"/>
                <w:b/>
                <w:bCs/>
              </w:rPr>
            </w:pPr>
            <w:r w:rsidRPr="00491E79">
              <w:rPr>
                <w:rFonts w:ascii="Gill Sans MT" w:hAnsi="Gill Sans MT"/>
                <w:b/>
                <w:bCs/>
              </w:rPr>
              <w:t>THEME 1:  People and lifestyle</w:t>
            </w:r>
          </w:p>
          <w:p w14:paraId="5F26CD90" w14:textId="52A1EA4B" w:rsidR="002C007B" w:rsidRPr="00491E79" w:rsidRDefault="7815107A" w:rsidP="694BA1AC">
            <w:p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491E79">
              <w:rPr>
                <w:rFonts w:ascii="Gill Sans MT" w:hAnsi="Gill Sans MT"/>
              </w:rPr>
              <w:t xml:space="preserve">Theme 1 covers the following </w:t>
            </w:r>
            <w:r w:rsidR="001C03B1" w:rsidRPr="00491E79">
              <w:rPr>
                <w:rFonts w:ascii="Gill Sans MT" w:hAnsi="Gill Sans MT"/>
              </w:rPr>
              <w:t>four</w:t>
            </w:r>
            <w:r w:rsidRPr="00491E79">
              <w:rPr>
                <w:rFonts w:ascii="Gill Sans MT" w:hAnsi="Gill Sans MT"/>
              </w:rPr>
              <w:t xml:space="preserve"> topics:</w:t>
            </w:r>
          </w:p>
          <w:p w14:paraId="43828F50" w14:textId="5D3A758A" w:rsidR="001C03B1" w:rsidRPr="00491E79" w:rsidRDefault="001C03B1" w:rsidP="001C03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491E79">
              <w:rPr>
                <w:rFonts w:ascii="Gill Sans MT" w:hAnsi="Gill Sans MT"/>
              </w:rPr>
              <w:t xml:space="preserve">Me, my </w:t>
            </w:r>
            <w:proofErr w:type="gramStart"/>
            <w:r w:rsidRPr="00491E79">
              <w:rPr>
                <w:rFonts w:ascii="Gill Sans MT" w:hAnsi="Gill Sans MT"/>
              </w:rPr>
              <w:t>family</w:t>
            </w:r>
            <w:proofErr w:type="gramEnd"/>
            <w:r w:rsidRPr="00491E79">
              <w:rPr>
                <w:rFonts w:ascii="Gill Sans MT" w:hAnsi="Gill Sans MT"/>
              </w:rPr>
              <w:t xml:space="preserve"> and friends</w:t>
            </w:r>
          </w:p>
          <w:p w14:paraId="3D50CE8D" w14:textId="6A439656" w:rsidR="001C03B1" w:rsidRPr="00491E79" w:rsidRDefault="001C03B1" w:rsidP="001C03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491E79">
              <w:rPr>
                <w:rFonts w:ascii="Gill Sans MT" w:hAnsi="Gill Sans MT"/>
              </w:rPr>
              <w:t xml:space="preserve">Technology </w:t>
            </w:r>
            <w:r w:rsidR="00CF6D15" w:rsidRPr="00491E79">
              <w:rPr>
                <w:rFonts w:ascii="Gill Sans MT" w:hAnsi="Gill Sans MT"/>
              </w:rPr>
              <w:t>in everyday life</w:t>
            </w:r>
          </w:p>
          <w:p w14:paraId="05E453AF" w14:textId="37D3AD45" w:rsidR="00CF6D15" w:rsidRPr="00491E79" w:rsidRDefault="00CF6D15" w:rsidP="001C03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491E79">
              <w:rPr>
                <w:rFonts w:ascii="Gill Sans MT" w:hAnsi="Gill Sans MT"/>
              </w:rPr>
              <w:t>Free time activities</w:t>
            </w:r>
          </w:p>
          <w:p w14:paraId="01D9F268" w14:textId="35F185C8" w:rsidR="00CF6D15" w:rsidRPr="00491E79" w:rsidRDefault="00CF6D15" w:rsidP="001C03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491E79">
              <w:rPr>
                <w:rFonts w:ascii="Gill Sans MT" w:hAnsi="Gill Sans MT"/>
              </w:rPr>
              <w:t>Customs and festivals in Poland</w:t>
            </w:r>
          </w:p>
          <w:p w14:paraId="73EB9633" w14:textId="7464C16B" w:rsidR="00F534CB" w:rsidRPr="00491E79" w:rsidRDefault="00F534CB" w:rsidP="00F534CB">
            <w:pPr>
              <w:spacing w:after="0" w:line="240" w:lineRule="auto"/>
              <w:ind w:right="283"/>
              <w:rPr>
                <w:rFonts w:ascii="Gill Sans MT" w:eastAsia="Aptos" w:hAnsi="Gill Sans MT" w:cs="Aptos"/>
                <w:b/>
                <w:bCs/>
              </w:rPr>
            </w:pPr>
            <w:r w:rsidRPr="00491E79">
              <w:rPr>
                <w:rFonts w:ascii="Gill Sans MT" w:eastAsia="Aptos" w:hAnsi="Gill Sans MT" w:cs="Aptos"/>
                <w:b/>
                <w:bCs/>
              </w:rPr>
              <w:t xml:space="preserve">THEME 2: </w:t>
            </w:r>
            <w:r w:rsidR="00CF6D15" w:rsidRPr="00491E79">
              <w:rPr>
                <w:rFonts w:ascii="Gill Sans MT" w:eastAsia="Aptos" w:hAnsi="Gill Sans MT" w:cs="Aptos"/>
                <w:b/>
                <w:bCs/>
              </w:rPr>
              <w:t>Local, national</w:t>
            </w:r>
            <w:r w:rsidR="001D7E43" w:rsidRPr="00491E79">
              <w:rPr>
                <w:rFonts w:ascii="Gill Sans MT" w:eastAsia="Aptos" w:hAnsi="Gill Sans MT" w:cs="Aptos"/>
                <w:b/>
                <w:bCs/>
              </w:rPr>
              <w:t xml:space="preserve">, </w:t>
            </w:r>
            <w:proofErr w:type="gramStart"/>
            <w:r w:rsidR="00CF6D15" w:rsidRPr="00491E79">
              <w:rPr>
                <w:rFonts w:ascii="Gill Sans MT" w:eastAsia="Aptos" w:hAnsi="Gill Sans MT" w:cs="Aptos"/>
                <w:b/>
                <w:bCs/>
              </w:rPr>
              <w:t>international</w:t>
            </w:r>
            <w:proofErr w:type="gramEnd"/>
            <w:r w:rsidR="001D7E43" w:rsidRPr="00491E79">
              <w:rPr>
                <w:rFonts w:ascii="Gill Sans MT" w:eastAsia="Aptos" w:hAnsi="Gill Sans MT" w:cs="Aptos"/>
                <w:b/>
                <w:bCs/>
              </w:rPr>
              <w:t xml:space="preserve"> and global</w:t>
            </w:r>
            <w:r w:rsidR="00CF6D15" w:rsidRPr="00491E79">
              <w:rPr>
                <w:rFonts w:ascii="Gill Sans MT" w:eastAsia="Aptos" w:hAnsi="Gill Sans MT" w:cs="Aptos"/>
                <w:b/>
                <w:bCs/>
              </w:rPr>
              <w:t xml:space="preserve"> areas of interest</w:t>
            </w:r>
          </w:p>
          <w:p w14:paraId="2D41E0FD" w14:textId="3DB7D64F" w:rsidR="000D5A48" w:rsidRPr="00491E79" w:rsidRDefault="000D5A48" w:rsidP="00F534CB">
            <w:p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491E79">
              <w:rPr>
                <w:rFonts w:ascii="Gill Sans MT" w:eastAsia="Aptos" w:hAnsi="Gill Sans MT" w:cs="Aptos"/>
              </w:rPr>
              <w:t xml:space="preserve">Theme 2 covers the following </w:t>
            </w:r>
            <w:r w:rsidR="001D7E43" w:rsidRPr="00491E79">
              <w:rPr>
                <w:rFonts w:ascii="Gill Sans MT" w:eastAsia="Aptos" w:hAnsi="Gill Sans MT" w:cs="Aptos"/>
              </w:rPr>
              <w:t>four</w:t>
            </w:r>
            <w:r w:rsidRPr="00491E79">
              <w:rPr>
                <w:rFonts w:ascii="Gill Sans MT" w:eastAsia="Aptos" w:hAnsi="Gill Sans MT" w:cs="Aptos"/>
              </w:rPr>
              <w:t xml:space="preserve"> topics:</w:t>
            </w:r>
          </w:p>
          <w:p w14:paraId="5D59AAE0" w14:textId="2B62224E" w:rsidR="0068298F" w:rsidRPr="00491E79" w:rsidRDefault="001D7E43" w:rsidP="007E67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491E79">
              <w:rPr>
                <w:rFonts w:ascii="Gill Sans MT" w:eastAsia="Aptos" w:hAnsi="Gill Sans MT" w:cs="Aptos"/>
              </w:rPr>
              <w:t>Home, town</w:t>
            </w:r>
            <w:r w:rsidR="004757FD" w:rsidRPr="00491E79">
              <w:rPr>
                <w:rFonts w:ascii="Gill Sans MT" w:eastAsia="Aptos" w:hAnsi="Gill Sans MT" w:cs="Aptos"/>
              </w:rPr>
              <w:t xml:space="preserve">, </w:t>
            </w:r>
            <w:r w:rsidR="007F755E" w:rsidRPr="00491E79">
              <w:rPr>
                <w:rFonts w:ascii="Gill Sans MT" w:eastAsia="Aptos" w:hAnsi="Gill Sans MT" w:cs="Aptos"/>
              </w:rPr>
              <w:t>neighbourhood,</w:t>
            </w:r>
            <w:r w:rsidR="004757FD" w:rsidRPr="00491E79">
              <w:rPr>
                <w:rFonts w:ascii="Gill Sans MT" w:eastAsia="Aptos" w:hAnsi="Gill Sans MT" w:cs="Aptos"/>
              </w:rPr>
              <w:t xml:space="preserve"> and region</w:t>
            </w:r>
          </w:p>
          <w:p w14:paraId="1CC96970" w14:textId="18F472BE" w:rsidR="004757FD" w:rsidRPr="00491E79" w:rsidRDefault="004757FD" w:rsidP="007E67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491E79">
              <w:rPr>
                <w:rFonts w:ascii="Gill Sans MT" w:eastAsia="Aptos" w:hAnsi="Gill Sans MT" w:cs="Aptos"/>
              </w:rPr>
              <w:t>Social issues</w:t>
            </w:r>
          </w:p>
          <w:p w14:paraId="3421B942" w14:textId="55C87F93" w:rsidR="004757FD" w:rsidRPr="00491E79" w:rsidRDefault="004757FD" w:rsidP="007E67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491E79">
              <w:rPr>
                <w:rFonts w:ascii="Gill Sans MT" w:eastAsia="Aptos" w:hAnsi="Gill Sans MT" w:cs="Aptos"/>
              </w:rPr>
              <w:t>Global issues</w:t>
            </w:r>
          </w:p>
          <w:p w14:paraId="47FCF1AD" w14:textId="5812336A" w:rsidR="004757FD" w:rsidRPr="00491E79" w:rsidRDefault="004757FD" w:rsidP="007E67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283"/>
              <w:rPr>
                <w:rFonts w:ascii="Gill Sans MT" w:eastAsia="Aptos" w:hAnsi="Gill Sans MT" w:cs="Aptos"/>
              </w:rPr>
            </w:pPr>
            <w:r w:rsidRPr="00491E79">
              <w:rPr>
                <w:rFonts w:ascii="Gill Sans MT" w:eastAsia="Aptos" w:hAnsi="Gill Sans MT" w:cs="Aptos"/>
              </w:rPr>
              <w:t>Travel and Tourism</w:t>
            </w:r>
          </w:p>
          <w:p w14:paraId="7B2BDBD0" w14:textId="6F4DD559" w:rsidR="0068298F" w:rsidRPr="00491E79" w:rsidRDefault="0068298F" w:rsidP="002C007B">
            <w:pPr>
              <w:spacing w:after="0" w:line="240" w:lineRule="auto"/>
              <w:ind w:right="283"/>
              <w:rPr>
                <w:rFonts w:ascii="Gill Sans MT" w:hAnsi="Gill Sans MT"/>
                <w:b/>
                <w:bCs/>
              </w:rPr>
            </w:pPr>
            <w:r w:rsidRPr="00491E79">
              <w:rPr>
                <w:rFonts w:ascii="Gill Sans MT" w:hAnsi="Gill Sans MT"/>
                <w:b/>
                <w:bCs/>
              </w:rPr>
              <w:t xml:space="preserve">THEME 3: </w:t>
            </w:r>
            <w:r w:rsidR="004757FD" w:rsidRPr="00491E79">
              <w:rPr>
                <w:rFonts w:ascii="Gill Sans MT" w:hAnsi="Gill Sans MT"/>
                <w:b/>
                <w:bCs/>
              </w:rPr>
              <w:t>Current and future study and employment</w:t>
            </w:r>
          </w:p>
          <w:p w14:paraId="72FFFEDC" w14:textId="7B6B14B1" w:rsidR="0068298F" w:rsidRPr="00491E79" w:rsidRDefault="0068298F" w:rsidP="002C007B">
            <w:pPr>
              <w:spacing w:after="0" w:line="240" w:lineRule="auto"/>
              <w:ind w:right="283"/>
              <w:rPr>
                <w:rFonts w:ascii="Gill Sans MT" w:hAnsi="Gill Sans MT"/>
              </w:rPr>
            </w:pPr>
            <w:r w:rsidRPr="00491E79">
              <w:rPr>
                <w:rFonts w:ascii="Gill Sans MT" w:hAnsi="Gill Sans MT"/>
              </w:rPr>
              <w:t xml:space="preserve">Theme 3 covers the following </w:t>
            </w:r>
            <w:r w:rsidR="007B7F59" w:rsidRPr="00491E79">
              <w:rPr>
                <w:rFonts w:ascii="Gill Sans MT" w:hAnsi="Gill Sans MT"/>
              </w:rPr>
              <w:t>four</w:t>
            </w:r>
            <w:r w:rsidRPr="00491E79">
              <w:rPr>
                <w:rFonts w:ascii="Gill Sans MT" w:hAnsi="Gill Sans MT"/>
              </w:rPr>
              <w:t xml:space="preserve"> topics:</w:t>
            </w:r>
          </w:p>
          <w:p w14:paraId="39B8A789" w14:textId="77777777" w:rsidR="002C007B" w:rsidRPr="00491E79" w:rsidRDefault="007B7F59" w:rsidP="002C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My studies</w:t>
            </w:r>
          </w:p>
          <w:p w14:paraId="2D0BF755" w14:textId="77777777" w:rsidR="007B7F59" w:rsidRPr="00491E79" w:rsidRDefault="007B7F59" w:rsidP="002C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Life at school and college</w:t>
            </w:r>
          </w:p>
          <w:p w14:paraId="1A65726A" w14:textId="77777777" w:rsidR="00B870E2" w:rsidRPr="00491E79" w:rsidRDefault="00B870E2" w:rsidP="002C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Education </w:t>
            </w:r>
            <w:proofErr w:type="gramStart"/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Post-16</w:t>
            </w:r>
            <w:proofErr w:type="gramEnd"/>
          </w:p>
          <w:p w14:paraId="0549E2F1" w14:textId="6E64B39A" w:rsidR="00B870E2" w:rsidRPr="00491E79" w:rsidRDefault="00B870E2" w:rsidP="002C00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83"/>
              <w:rPr>
                <w:rFonts w:ascii="Gill Sans MT" w:eastAsia="Times New Roman" w:hAnsi="Gill Sans MT" w:cs="Times New Roman"/>
                <w:color w:val="000000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Jobs, Career choices and ambitions</w:t>
            </w:r>
          </w:p>
        </w:tc>
      </w:tr>
      <w:tr w:rsidR="002C007B" w:rsidRPr="00491E79" w14:paraId="2505B018" w14:textId="77777777" w:rsidTr="6B83E66E">
        <w:trPr>
          <w:trHeight w:val="586"/>
        </w:trPr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85CF" w14:textId="77777777" w:rsidR="002C007B" w:rsidRPr="00491E79" w:rsidRDefault="002C007B" w:rsidP="002C007B">
            <w:pPr>
              <w:spacing w:beforeAutospacing="1" w:after="0" w:afterAutospacing="1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Progression routes:</w:t>
            </w:r>
          </w:p>
          <w:p w14:paraId="617E1EA7" w14:textId="77777777" w:rsidR="002C007B" w:rsidRPr="00491E79" w:rsidRDefault="002C007B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90D0" w14:textId="0ED10A22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C</w:t>
            </w:r>
            <w:r w:rsidR="5C29DA39" w:rsidRPr="00491E79">
              <w:rPr>
                <w:rFonts w:ascii="Gill Sans MT" w:hAnsi="Gill Sans MT"/>
              </w:rPr>
              <w:t>ustomer services</w:t>
            </w:r>
          </w:p>
          <w:p w14:paraId="30D3EAA0" w14:textId="7A199458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  <w:t>T</w:t>
            </w:r>
            <w:r w:rsidR="00027D57" w:rsidRPr="00491E79"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  <w:t>ranslation / interpreting / marketing</w:t>
            </w:r>
          </w:p>
          <w:p w14:paraId="1E5AE23C" w14:textId="05EFCA6B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I</w:t>
            </w:r>
            <w:r w:rsidR="5C29DA39" w:rsidRPr="00491E79">
              <w:rPr>
                <w:rFonts w:ascii="Gill Sans MT" w:hAnsi="Gill Sans MT"/>
              </w:rPr>
              <w:t xml:space="preserve">ntelligence work </w:t>
            </w:r>
            <w:r w:rsidRPr="00491E79">
              <w:rPr>
                <w:rFonts w:ascii="Gill Sans MT" w:hAnsi="Gill Sans MT"/>
              </w:rPr>
              <w:t xml:space="preserve">/ diplomatic service </w:t>
            </w:r>
            <w:r w:rsidR="5C29DA39" w:rsidRPr="00491E79">
              <w:rPr>
                <w:rFonts w:ascii="Gill Sans MT" w:hAnsi="Gill Sans MT"/>
              </w:rPr>
              <w:t>for the government</w:t>
            </w:r>
          </w:p>
          <w:p w14:paraId="524C6B52" w14:textId="20CBBFE9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T</w:t>
            </w:r>
            <w:r w:rsidR="2A8FA082" w:rsidRPr="00491E79">
              <w:rPr>
                <w:rFonts w:ascii="Gill Sans MT" w:hAnsi="Gill Sans MT"/>
              </w:rPr>
              <w:t>ourist information work</w:t>
            </w:r>
          </w:p>
          <w:p w14:paraId="1CABAC40" w14:textId="6C1C1EDA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I</w:t>
            </w:r>
            <w:r w:rsidR="2A8FA082" w:rsidRPr="00491E79">
              <w:rPr>
                <w:rFonts w:ascii="Gill Sans MT" w:hAnsi="Gill Sans MT"/>
              </w:rPr>
              <w:t>nternational law and business</w:t>
            </w:r>
          </w:p>
          <w:p w14:paraId="45801518" w14:textId="0B6C35E1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H</w:t>
            </w:r>
            <w:r w:rsidR="2A8FA082" w:rsidRPr="00491E79">
              <w:rPr>
                <w:rFonts w:ascii="Gill Sans MT" w:hAnsi="Gill Sans MT"/>
              </w:rPr>
              <w:t>otel management</w:t>
            </w:r>
            <w:r w:rsidR="00027D57" w:rsidRPr="00491E79">
              <w:rPr>
                <w:rFonts w:ascii="Gill Sans MT" w:hAnsi="Gill Sans MT"/>
              </w:rPr>
              <w:t xml:space="preserve">/tour operating / airport work </w:t>
            </w:r>
          </w:p>
          <w:p w14:paraId="383D816C" w14:textId="4D6F3C8A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I</w:t>
            </w:r>
            <w:r w:rsidR="2A8FA082" w:rsidRPr="00491E79">
              <w:rPr>
                <w:rFonts w:ascii="Gill Sans MT" w:hAnsi="Gill Sans MT"/>
              </w:rPr>
              <w:t>mmigration</w:t>
            </w:r>
            <w:r w:rsidRPr="00491E79">
              <w:rPr>
                <w:rFonts w:ascii="Gill Sans MT" w:hAnsi="Gill Sans MT"/>
              </w:rPr>
              <w:t xml:space="preserve"> / social services</w:t>
            </w:r>
            <w:r w:rsidR="26C60738" w:rsidRPr="00491E79">
              <w:rPr>
                <w:rFonts w:ascii="Gill Sans MT" w:hAnsi="Gill Sans MT"/>
              </w:rPr>
              <w:t xml:space="preserve"> </w:t>
            </w:r>
          </w:p>
          <w:p w14:paraId="6EF49AC0" w14:textId="1527333A" w:rsidR="00027D57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T</w:t>
            </w:r>
            <w:r w:rsidR="2A8FA082" w:rsidRPr="00491E79">
              <w:rPr>
                <w:rFonts w:ascii="Gill Sans MT" w:hAnsi="Gill Sans MT"/>
              </w:rPr>
              <w:t>eaching English</w:t>
            </w:r>
            <w:r w:rsidR="4D124DD4" w:rsidRPr="00491E79">
              <w:rPr>
                <w:rFonts w:ascii="Gill Sans MT" w:hAnsi="Gill Sans MT"/>
              </w:rPr>
              <w:t xml:space="preserve"> abroad</w:t>
            </w:r>
            <w:r w:rsidR="00027D57" w:rsidRPr="00491E79">
              <w:rPr>
                <w:rFonts w:ascii="Gill Sans MT" w:hAnsi="Gill Sans MT"/>
              </w:rPr>
              <w:t xml:space="preserve"> / bilingual classroom assisting /</w:t>
            </w:r>
            <w:r w:rsidR="007F755E" w:rsidRPr="00491E79">
              <w:rPr>
                <w:rFonts w:ascii="Gill Sans MT" w:hAnsi="Gill Sans MT"/>
              </w:rPr>
              <w:t>teaching.</w:t>
            </w:r>
          </w:p>
          <w:p w14:paraId="3E6ADF4F" w14:textId="79F6C349" w:rsidR="002C007B" w:rsidRPr="00491E79" w:rsidRDefault="00003C06" w:rsidP="00027D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hAnsi="Gill Sans MT"/>
              </w:rPr>
              <w:t>J</w:t>
            </w:r>
            <w:r w:rsidR="721AA021" w:rsidRPr="00491E79">
              <w:rPr>
                <w:rFonts w:ascii="Gill Sans MT" w:hAnsi="Gill Sans MT"/>
              </w:rPr>
              <w:t>ournalism</w:t>
            </w:r>
          </w:p>
        </w:tc>
      </w:tr>
      <w:tr w:rsidR="002C007B" w:rsidRPr="00491E79" w14:paraId="68C5FD65" w14:textId="77777777" w:rsidTr="6B83E66E">
        <w:trPr>
          <w:trHeight w:val="873"/>
        </w:trPr>
        <w:tc>
          <w:tcPr>
            <w:tcW w:w="3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4CC0" w14:textId="152953FF" w:rsidR="002C007B" w:rsidRPr="00491E79" w:rsidRDefault="002C007B" w:rsidP="002C007B">
            <w:pPr>
              <w:spacing w:beforeAutospacing="1" w:after="0" w:afterAutospacing="1" w:line="240" w:lineRule="auto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How you will learn</w:t>
            </w:r>
          </w:p>
          <w:p w14:paraId="722A5F41" w14:textId="77777777" w:rsidR="002C007B" w:rsidRPr="00491E79" w:rsidRDefault="002C007B" w:rsidP="002C007B">
            <w:pPr>
              <w:spacing w:after="0" w:line="240" w:lineRule="auto"/>
              <w:ind w:right="1708"/>
              <w:rPr>
                <w:rFonts w:ascii="Gill Sans MT" w:eastAsia="Times New Roman" w:hAnsi="Gill Sans M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3DCE" w14:textId="5D939E32" w:rsidR="002C007B" w:rsidRPr="00491E79" w:rsidRDefault="005722B9" w:rsidP="002C007B">
            <w:pPr>
              <w:spacing w:after="0" w:line="240" w:lineRule="auto"/>
              <w:rPr>
                <w:rFonts w:ascii="Gill Sans MT" w:eastAsia="Times New Roman" w:hAnsi="Gill Sans MT" w:cs="Times New Roman"/>
                <w:kern w:val="0"/>
                <w:lang w:eastAsia="en-GB"/>
                <w14:ligatures w14:val="none"/>
              </w:rPr>
            </w:pP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Like </w:t>
            </w:r>
            <w:r w:rsidR="143064D9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Jenga</w:t>
            </w: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blocks</w:t>
            </w:r>
            <w:r w:rsidR="00D77A1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you</w:t>
            </w:r>
            <w:r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will build your language skills </w:t>
            </w:r>
            <w:r w:rsidR="004977DC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through</w:t>
            </w:r>
            <w:r w:rsidR="00D77A12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exposure to</w:t>
            </w:r>
            <w:r w:rsidR="004977DC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topical vocabulary</w:t>
            </w:r>
            <w:r w:rsidR="00963253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and grammar.  </w:t>
            </w:r>
            <w:r w:rsidR="008F5BF9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Speaking </w:t>
            </w:r>
            <w:r w:rsidR="00963253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Polish</w:t>
            </w:r>
            <w:r w:rsidR="008F5BF9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is fun and interactive combined with communicating in writing on topi</w:t>
            </w:r>
            <w:r w:rsidR="005933E5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cs which develop your understanding of the world.   </w:t>
            </w:r>
            <w:r w:rsidR="00814B78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You will also listen to spoken </w:t>
            </w:r>
            <w:r w:rsidR="00963253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Polish </w:t>
            </w:r>
            <w:r w:rsidR="00814B78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and develop your comprehension skills by </w:t>
            </w:r>
            <w:r w:rsidR="003903A3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reading and </w:t>
            </w:r>
            <w:r w:rsidR="00814B78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engaging with a variety of </w:t>
            </w:r>
            <w:r w:rsidR="003903A3" w:rsidRPr="00491E79">
              <w:rPr>
                <w:rFonts w:ascii="Gill Sans MT" w:eastAsia="Times New Roman" w:hAnsi="Gill Sans MT" w:cs="Times New Roman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written sources.</w:t>
            </w:r>
          </w:p>
        </w:tc>
      </w:tr>
      <w:tr w:rsidR="002C007B" w:rsidRPr="000D5A48" w14:paraId="20456E77" w14:textId="77777777" w:rsidTr="6B83E66E">
        <w:trPr>
          <w:trHeight w:val="330"/>
        </w:trPr>
        <w:tc>
          <w:tcPr>
            <w:tcW w:w="104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B700" w14:textId="02BF3C46" w:rsidR="002C007B" w:rsidRPr="00822589" w:rsidRDefault="00355EFF" w:rsidP="00822589">
            <w:pPr>
              <w:shd w:val="clear" w:color="auto" w:fill="FFFFFF" w:themeFill="background1"/>
              <w:spacing w:after="0" w:line="240" w:lineRule="auto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12BE9" wp14:editId="725F2DCB">
                  <wp:simplePos x="0" y="0"/>
                  <wp:positionH relativeFrom="column">
                    <wp:posOffset>2858770</wp:posOffset>
                  </wp:positionH>
                  <wp:positionV relativeFrom="paragraph">
                    <wp:posOffset>22860</wp:posOffset>
                  </wp:positionV>
                  <wp:extent cx="781050" cy="696595"/>
                  <wp:effectExtent l="0" t="0" r="0" b="8255"/>
                  <wp:wrapTight wrapText="bothSides">
                    <wp:wrapPolygon edited="0">
                      <wp:start x="0" y="0"/>
                      <wp:lineTo x="0" y="21265"/>
                      <wp:lineTo x="21073" y="21265"/>
                      <wp:lineTo x="21073" y="0"/>
                      <wp:lineTo x="0" y="0"/>
                    </wp:wrapPolygon>
                  </wp:wrapTight>
                  <wp:docPr id="20572847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8473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7C72D14" wp14:editId="2C9BDC4D">
                  <wp:simplePos x="0" y="0"/>
                  <wp:positionH relativeFrom="column">
                    <wp:posOffset>5106670</wp:posOffset>
                  </wp:positionH>
                  <wp:positionV relativeFrom="paragraph">
                    <wp:posOffset>3810</wp:posOffset>
                  </wp:positionV>
                  <wp:extent cx="899160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051" y="21162"/>
                      <wp:lineTo x="2105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erman snack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540D">
              <w:rPr>
                <w:noProof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711A6C23" w14:textId="2D129B24" w:rsidR="002C007B" w:rsidRPr="000D5A48" w:rsidRDefault="002C007B">
      <w:pPr>
        <w:rPr>
          <w:rFonts w:ascii="Comic Sans MS" w:hAnsi="Comic Sans MS"/>
          <w:sz w:val="32"/>
          <w:szCs w:val="32"/>
        </w:rPr>
      </w:pPr>
    </w:p>
    <w:sectPr w:rsidR="002C007B" w:rsidRPr="000D5A48" w:rsidSect="00712D1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F1D"/>
      </v:shape>
    </w:pict>
  </w:numPicBullet>
  <w:numPicBullet w:numPicBulletId="1">
    <w:pict>
      <v:shape id="_x0000_i1027" type="#_x0000_t75" style="width:11.25pt;height:11.25pt" o:bullet="t">
        <v:imagedata r:id="rId2" o:title="msoFF1D"/>
      </v:shape>
    </w:pict>
  </w:numPicBullet>
  <w:abstractNum w:abstractNumId="0" w15:restartNumberingAfterBreak="0">
    <w:nsid w:val="0A4536D4"/>
    <w:multiLevelType w:val="hybridMultilevel"/>
    <w:tmpl w:val="4356B8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12A9"/>
    <w:multiLevelType w:val="hybridMultilevel"/>
    <w:tmpl w:val="1B5ABF68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E1E"/>
    <w:multiLevelType w:val="hybridMultilevel"/>
    <w:tmpl w:val="9BDE2FA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1A0"/>
    <w:multiLevelType w:val="hybridMultilevel"/>
    <w:tmpl w:val="F7B8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D2AE6"/>
    <w:multiLevelType w:val="hybridMultilevel"/>
    <w:tmpl w:val="EA485A1C"/>
    <w:lvl w:ilvl="0" w:tplc="08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F3658"/>
    <w:multiLevelType w:val="hybridMultilevel"/>
    <w:tmpl w:val="F3B276BA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2033"/>
    <w:multiLevelType w:val="hybridMultilevel"/>
    <w:tmpl w:val="E42860B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493214">
    <w:abstractNumId w:val="6"/>
  </w:num>
  <w:num w:numId="2" w16cid:durableId="1660571756">
    <w:abstractNumId w:val="5"/>
  </w:num>
  <w:num w:numId="3" w16cid:durableId="155386641">
    <w:abstractNumId w:val="1"/>
  </w:num>
  <w:num w:numId="4" w16cid:durableId="1422334988">
    <w:abstractNumId w:val="4"/>
  </w:num>
  <w:num w:numId="5" w16cid:durableId="554436012">
    <w:abstractNumId w:val="2"/>
  </w:num>
  <w:num w:numId="6" w16cid:durableId="1628974361">
    <w:abstractNumId w:val="0"/>
  </w:num>
  <w:num w:numId="7" w16cid:durableId="88001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7B"/>
    <w:rsid w:val="00003C06"/>
    <w:rsid w:val="00027D57"/>
    <w:rsid w:val="00093ABC"/>
    <w:rsid w:val="000D16C7"/>
    <w:rsid w:val="000D5A48"/>
    <w:rsid w:val="000E7ED2"/>
    <w:rsid w:val="0018652D"/>
    <w:rsid w:val="001B586B"/>
    <w:rsid w:val="001C03B1"/>
    <w:rsid w:val="001D7E43"/>
    <w:rsid w:val="002426C1"/>
    <w:rsid w:val="002B6909"/>
    <w:rsid w:val="002C007B"/>
    <w:rsid w:val="00324895"/>
    <w:rsid w:val="00335F40"/>
    <w:rsid w:val="00355862"/>
    <w:rsid w:val="00355EFF"/>
    <w:rsid w:val="00362766"/>
    <w:rsid w:val="003903A3"/>
    <w:rsid w:val="003D7841"/>
    <w:rsid w:val="003E1E51"/>
    <w:rsid w:val="003F3D88"/>
    <w:rsid w:val="004757FD"/>
    <w:rsid w:val="00491E79"/>
    <w:rsid w:val="0049246D"/>
    <w:rsid w:val="004977DC"/>
    <w:rsid w:val="0053607A"/>
    <w:rsid w:val="00565CEC"/>
    <w:rsid w:val="005722B9"/>
    <w:rsid w:val="005933E5"/>
    <w:rsid w:val="005B2FAE"/>
    <w:rsid w:val="005D360C"/>
    <w:rsid w:val="00607CEF"/>
    <w:rsid w:val="0068298F"/>
    <w:rsid w:val="006E04E0"/>
    <w:rsid w:val="00712D1F"/>
    <w:rsid w:val="00731DDC"/>
    <w:rsid w:val="007B7F59"/>
    <w:rsid w:val="007E67A5"/>
    <w:rsid w:val="007F755E"/>
    <w:rsid w:val="0080584D"/>
    <w:rsid w:val="00814B78"/>
    <w:rsid w:val="00822589"/>
    <w:rsid w:val="00894B9C"/>
    <w:rsid w:val="008F5BF9"/>
    <w:rsid w:val="0091577C"/>
    <w:rsid w:val="00936A72"/>
    <w:rsid w:val="00963253"/>
    <w:rsid w:val="009E5A3E"/>
    <w:rsid w:val="00A03F12"/>
    <w:rsid w:val="00A328D6"/>
    <w:rsid w:val="00A407C0"/>
    <w:rsid w:val="00AB540D"/>
    <w:rsid w:val="00AC157E"/>
    <w:rsid w:val="00B870E2"/>
    <w:rsid w:val="00BB3CFB"/>
    <w:rsid w:val="00BD7AD0"/>
    <w:rsid w:val="00CC266C"/>
    <w:rsid w:val="00CF6D15"/>
    <w:rsid w:val="00D406AC"/>
    <w:rsid w:val="00D77A12"/>
    <w:rsid w:val="00E53145"/>
    <w:rsid w:val="00EC32D6"/>
    <w:rsid w:val="00F31F7B"/>
    <w:rsid w:val="00F534CB"/>
    <w:rsid w:val="00F70560"/>
    <w:rsid w:val="00FE02E5"/>
    <w:rsid w:val="143064D9"/>
    <w:rsid w:val="25E1D1FA"/>
    <w:rsid w:val="26C60738"/>
    <w:rsid w:val="2A8FA082"/>
    <w:rsid w:val="3072C426"/>
    <w:rsid w:val="348EEB46"/>
    <w:rsid w:val="49C9988D"/>
    <w:rsid w:val="4D124DD4"/>
    <w:rsid w:val="4E82CEB2"/>
    <w:rsid w:val="5C29DA39"/>
    <w:rsid w:val="694BA1AC"/>
    <w:rsid w:val="69B60E39"/>
    <w:rsid w:val="6B83E66E"/>
    <w:rsid w:val="6FD1DF94"/>
    <w:rsid w:val="70E58866"/>
    <w:rsid w:val="721AA021"/>
    <w:rsid w:val="72A61667"/>
    <w:rsid w:val="781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BB378F"/>
  <w15:chartTrackingRefBased/>
  <w15:docId w15:val="{A174E4D5-5D8D-4B0F-9B65-7513BCE7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0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0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0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07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C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5" Type="http://schemas.openxmlformats.org/officeDocument/2006/relationships/numbering" Target="numbering.xml"/><Relationship Id="rId10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E7AAD3575EE4EB37EFFB79A023A97" ma:contentTypeVersion="18" ma:contentTypeDescription="Create a new document." ma:contentTypeScope="" ma:versionID="15b9eebb0eca9a8f3e990830ab2e3611">
  <xsd:schema xmlns:xsd="http://www.w3.org/2001/XMLSchema" xmlns:xs="http://www.w3.org/2001/XMLSchema" xmlns:p="http://schemas.microsoft.com/office/2006/metadata/properties" xmlns:ns3="f3751c2a-bb0f-4a25-80fe-ca3ed710f83e" xmlns:ns4="21377fe2-9bd3-4a61-9128-153e87910654" targetNamespace="http://schemas.microsoft.com/office/2006/metadata/properties" ma:root="true" ma:fieldsID="419ecfc68849521f5193f3a1e5d80c48" ns3:_="" ns4:_="">
    <xsd:import namespace="f3751c2a-bb0f-4a25-80fe-ca3ed710f83e"/>
    <xsd:import namespace="21377fe2-9bd3-4a61-9128-153e87910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51c2a-bb0f-4a25-80fe-ca3ed710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77fe2-9bd3-4a61-9128-153e87910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751c2a-bb0f-4a25-80fe-ca3ed710f83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0859D-84B8-457C-A65D-EB4199D40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51c2a-bb0f-4a25-80fe-ca3ed710f83e"/>
    <ds:schemaRef ds:uri="21377fe2-9bd3-4a61-9128-153e87910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18995-18A4-4468-813F-86578CB0E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FBCDD-E033-4560-9B0A-ED2D0723DF3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1377fe2-9bd3-4a61-9128-153e87910654"/>
    <ds:schemaRef ds:uri="f3751c2a-bb0f-4a25-80fe-ca3ed710f83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2B13AC-2961-448B-988D-E613148E8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Hegarty</dc:creator>
  <cp:keywords/>
  <dc:description/>
  <cp:lastModifiedBy>Paul Hegarty</cp:lastModifiedBy>
  <cp:revision>2</cp:revision>
  <dcterms:created xsi:type="dcterms:W3CDTF">2024-02-27T13:19:00Z</dcterms:created>
  <dcterms:modified xsi:type="dcterms:W3CDTF">2024-02-27T13:19:00Z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0x010100CD4E7AAD3575EE4EB37EFFB79A023A97</vt:lpwstr>
  </property>
</Properties>
</file>